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Příloha č. 2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Výroční zpr</w:t>
      </w:r>
      <w:r>
        <w:rPr>
          <w:rFonts w:cs="Arial" w:ascii="Arial" w:hAnsi="Arial"/>
          <w:sz w:val="24"/>
          <w:szCs w:val="24"/>
        </w:rPr>
        <w:t xml:space="preserve">áva za rok </w:t>
      </w:r>
      <w:r>
        <w:rPr>
          <w:rFonts w:cs="Arial" w:ascii="Arial" w:hAnsi="Arial"/>
          <w:sz w:val="24"/>
          <w:szCs w:val="24"/>
        </w:rPr>
        <w:t>2019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o činnosti obce </w:t>
      </w:r>
      <w:r>
        <w:rPr>
          <w:rFonts w:cs="Arial" w:ascii="Arial" w:hAnsi="Arial"/>
          <w:sz w:val="24"/>
          <w:szCs w:val="24"/>
        </w:rPr>
        <w:t>Nákří</w:t>
      </w:r>
      <w:r>
        <w:rPr>
          <w:rFonts w:cs="Arial" w:ascii="Arial" w:hAnsi="Arial"/>
          <w:sz w:val="24"/>
          <w:szCs w:val="24"/>
        </w:rPr>
        <w:t xml:space="preserve"> v oblasti poskytování informací dle § 18 zákona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č. 106/1999 Sb., o svobodném přístupu k informacím, ve znění pozdějších předpisů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počet podaných žádostí o informace a počet vydaných rozhodnutí o odmítnutí žádosti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- počet žádostí o informace dle InfZ, které obec obdržela v roce </w:t>
      </w:r>
      <w:r>
        <w:rPr>
          <w:rFonts w:cs="Arial" w:ascii="Arial" w:hAnsi="Arial"/>
          <w:sz w:val="24"/>
          <w:szCs w:val="24"/>
        </w:rPr>
        <w:t>2019</w:t>
      </w:r>
      <w:r>
        <w:rPr>
          <w:rFonts w:cs="Arial" w:ascii="Arial" w:hAnsi="Arial"/>
          <w:sz w:val="24"/>
          <w:szCs w:val="24"/>
        </w:rPr>
        <w:t xml:space="preserve"> </w:t>
        <w:tab/>
        <w:tab/>
      </w:r>
      <w:r>
        <w:rPr>
          <w:rFonts w:cs="Arial" w:ascii="Arial" w:hAnsi="Arial"/>
          <w:sz w:val="24"/>
          <w:szCs w:val="24"/>
        </w:rPr>
        <w:t>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počet rozhodnutí o odmítnutí žádosti: </w:t>
        <w:tab/>
        <w:tab/>
        <w:tab/>
        <w:tab/>
        <w:tab/>
        <w:tab/>
        <w:tab/>
        <w:t>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počet podaných odvolání proti rozhodnutí: </w:t>
        <w:tab/>
        <w:tab/>
        <w:tab/>
        <w:tab/>
        <w:tab/>
        <w:t>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<w:br/>
        <w:br/>
        <w:t>- žádný rozsudek ve věci přezkoumání zákonnosti rozhodnutí obce o odmítnutí žádosti o poskytnutí informace nebyl v roce 201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vydán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>výčet poskytnutých výhradních licencí, včetně odůvodnění nezbytnosti poskytnutí výhradní licence</w:t>
        <w:br/>
        <w:t>- výhradní licence v roce 201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 xml:space="preserve"> nebyly poskytnuty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počet stížností podaných podle § 16a InfZ, důvody jejich podání a stručný popis způsobu jejich vyřízení 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  <w:t>- počet stížností podaných dle § 16a InfZ:</w:t>
        <w:tab/>
        <w:tab/>
        <w:tab/>
        <w:tab/>
        <w:tab/>
        <w:t xml:space="preserve"> 1 </w:t>
        <w:br/>
        <w:t xml:space="preserve">- důvodem podání stížnosti byla neúplná původní odpověď na žadatelovu žádost (§ 16a odst. 1, písm. c/ InfZ), stížnost byla vyřízena dodatečným poskytnutím informace ze strany obce (§ 16a odst. 5 InfZ)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další informace vztahující se k uplatňování tohoto zákona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Poznámky: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- Kde je v tomto dokumentu použita zkratka „InfZ“, je jí myšlen zákon č. 106/1999 Sb., o svobodném přístupu k informacím, ve znění pozdějších předpisů.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- Tento dokument slouží pouze jako vzor pro obec k tomu jak plnit povinnost stanovenou dle § 18 InfZ.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i/>
          <w:sz w:val="20"/>
          <w:szCs w:val="20"/>
        </w:rPr>
        <w:t xml:space="preserve">- Na zachování struktury výroční zprávy dle § 18 InfZ je třeba trvat. V případě, že obec informací, která má být ve výroční zprávě uvedena, nedisponuje (neeviduje, informaci nemá), do této rubriky uvede sdělení o absenci této informace (viz např. písm. c/ a d/ této výroční zprávy).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73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 Unicode M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4d378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4d378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LibreOffice/5.0.3.2$Windows_X86_64 LibreOffice_project/e5f16313668ac592c1bfb310f4390624e3dbfb75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2020-08-22T09:02:00Z</dcterms:created>
  <dc:creator>Milada</dc:creator>
  <dc:language>cs-CZ</dc:language>
  <dcterms:modified xsi:type="dcterms:W3CDTF">2020-09-15T14:01:38Z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